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464" w:rsidRPr="00E97454" w:rsidRDefault="00FC3464" w:rsidP="00E97454">
      <w:pPr>
        <w:tabs>
          <w:tab w:val="left" w:pos="220"/>
          <w:tab w:val="left" w:pos="720"/>
        </w:tabs>
        <w:autoSpaceDE w:val="0"/>
        <w:autoSpaceDN w:val="0"/>
        <w:adjustRightInd w:val="0"/>
        <w:spacing w:after="240" w:line="480" w:lineRule="atLeast"/>
        <w:jc w:val="center"/>
        <w:rPr>
          <w:rFonts w:ascii="Times" w:hAnsi="Times" w:cs="Times"/>
          <w:b/>
          <w:color w:val="000000"/>
          <w:lang w:val="en-AU"/>
        </w:rPr>
      </w:pPr>
      <w:r w:rsidRPr="00E97454">
        <w:rPr>
          <w:rFonts w:ascii="Times" w:hAnsi="Times" w:cs="Times"/>
          <w:b/>
          <w:color w:val="474747"/>
          <w:sz w:val="42"/>
          <w:szCs w:val="42"/>
          <w:lang w:val="en-AU"/>
        </w:rPr>
        <w:t>YR 11.   Unit2 A    WAYS of LIFE</w:t>
      </w:r>
    </w:p>
    <w:p w:rsidR="00FC3464" w:rsidRPr="00FC3464" w:rsidRDefault="00FC3464" w:rsidP="00FC3464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480" w:lineRule="atLeast"/>
        <w:ind w:hanging="720"/>
        <w:rPr>
          <w:rFonts w:ascii="Times" w:hAnsi="Times" w:cs="Times"/>
          <w:color w:val="000000"/>
          <w:lang w:val="en-AU"/>
        </w:rPr>
      </w:pPr>
    </w:p>
    <w:p w:rsidR="00E97454" w:rsidRPr="00E97454" w:rsidRDefault="00FC3464" w:rsidP="00FC3464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480" w:lineRule="atLeast"/>
        <w:ind w:hanging="720"/>
        <w:rPr>
          <w:rFonts w:ascii="Times" w:hAnsi="Times" w:cs="Times"/>
          <w:color w:val="000000"/>
          <w:lang w:val="en-AU"/>
        </w:rPr>
      </w:pPr>
      <w:r>
        <w:rPr>
          <w:rFonts w:ascii="Times" w:hAnsi="Times" w:cs="Times"/>
          <w:color w:val="474747"/>
          <w:sz w:val="42"/>
          <w:szCs w:val="42"/>
          <w:lang w:val="en-AU"/>
        </w:rPr>
        <w:t xml:space="preserve">Suggested contexts </w:t>
      </w:r>
      <w:r>
        <w:rPr>
          <w:rFonts w:ascii="MS Mincho" w:eastAsia="MS Mincho" w:hAnsi="MS Mincho" w:cs="MS Mincho" w:hint="eastAsia"/>
          <w:color w:val="000000"/>
          <w:lang w:val="en-AU"/>
        </w:rPr>
        <w:t> </w:t>
      </w:r>
    </w:p>
    <w:p w:rsidR="00FC3464" w:rsidRDefault="00FC3464" w:rsidP="00FC3464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480" w:lineRule="atLeast"/>
        <w:ind w:hanging="720"/>
        <w:rPr>
          <w:rFonts w:ascii="Times" w:hAnsi="Times" w:cs="Times"/>
          <w:color w:val="000000"/>
          <w:lang w:val="en-AU"/>
        </w:rPr>
      </w:pPr>
      <w:r>
        <w:rPr>
          <w:rFonts w:ascii="Times" w:hAnsi="Times" w:cs="Times"/>
          <w:color w:val="000000"/>
          <w:sz w:val="29"/>
          <w:szCs w:val="29"/>
          <w:lang w:val="en-AU"/>
        </w:rPr>
        <w:t>Within the broad area of ways of life, teachers may choose one or more of the suggested contexts (this list is</w:t>
      </w:r>
      <w:r>
        <w:rPr>
          <w:rFonts w:ascii="MS Mincho" w:eastAsia="MS Mincho" w:hAnsi="MS Mincho" w:cs="MS Mincho" w:hint="eastAsia"/>
          <w:color w:val="000000"/>
          <w:lang w:val="en-AU"/>
        </w:rPr>
        <w:t> </w:t>
      </w:r>
    </w:p>
    <w:p w:rsidR="00FC3464" w:rsidRDefault="00FC3464" w:rsidP="00E97454">
      <w:p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000000"/>
          <w:lang w:val="en-AU"/>
        </w:rPr>
      </w:pPr>
      <w:r>
        <w:rPr>
          <w:rFonts w:ascii="Times" w:hAnsi="Times" w:cs="Times"/>
          <w:color w:val="000000"/>
          <w:sz w:val="29"/>
          <w:szCs w:val="29"/>
          <w:lang w:val="en-AU"/>
        </w:rPr>
        <w:t xml:space="preserve">not exhaustive): </w:t>
      </w:r>
    </w:p>
    <w:p w:rsidR="00FC3464" w:rsidRDefault="00FC3464" w:rsidP="00FC3464">
      <w:pPr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40" w:line="340" w:lineRule="atLeast"/>
        <w:ind w:hanging="1440"/>
        <w:rPr>
          <w:rFonts w:ascii="Times" w:hAnsi="Times" w:cs="Times"/>
          <w:color w:val="000000"/>
          <w:lang w:val="en-AU"/>
        </w:rPr>
      </w:pPr>
      <w:r>
        <w:rPr>
          <w:rFonts w:ascii="Times" w:hAnsi="Times" w:cs="Times"/>
          <w:color w:val="000000"/>
          <w:kern w:val="1"/>
          <w:sz w:val="29"/>
          <w:szCs w:val="29"/>
          <w:lang w:val="en-AU"/>
        </w:rPr>
        <w:tab/>
      </w:r>
      <w:r>
        <w:rPr>
          <w:rFonts w:ascii="Times" w:hAnsi="Times" w:cs="Times"/>
          <w:color w:val="000000"/>
          <w:kern w:val="1"/>
          <w:sz w:val="29"/>
          <w:szCs w:val="29"/>
          <w:lang w:val="en-AU"/>
        </w:rPr>
        <w:tab/>
      </w:r>
      <w:proofErr w:type="gramStart"/>
      <w:r>
        <w:rPr>
          <w:rFonts w:ascii="Times" w:hAnsi="Times" w:cs="Times"/>
          <w:color w:val="000000"/>
          <w:sz w:val="29"/>
          <w:szCs w:val="29"/>
          <w:lang w:val="en-AU"/>
        </w:rPr>
        <w:t>  attitudes</w:t>
      </w:r>
      <w:proofErr w:type="gramEnd"/>
      <w:r>
        <w:rPr>
          <w:rFonts w:ascii="Times" w:hAnsi="Times" w:cs="Times"/>
          <w:color w:val="000000"/>
          <w:sz w:val="29"/>
          <w:szCs w:val="29"/>
          <w:lang w:val="en-AU"/>
        </w:rPr>
        <w:t xml:space="preserve"> towards work and study: the importance placed on work or further study; workplace conditions; tertiary training and education pathways; cultural and gender preferences in relation to certain vocations </w:t>
      </w:r>
      <w:r>
        <w:rPr>
          <w:rFonts w:ascii="MS Mincho" w:eastAsia="MS Mincho" w:hAnsi="MS Mincho" w:cs="MS Mincho" w:hint="eastAsia"/>
          <w:color w:val="000000"/>
          <w:lang w:val="en-AU"/>
        </w:rPr>
        <w:t> </w:t>
      </w:r>
    </w:p>
    <w:p w:rsidR="00FC3464" w:rsidRDefault="00FC3464" w:rsidP="00FC3464">
      <w:pPr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40" w:line="340" w:lineRule="atLeast"/>
        <w:ind w:hanging="1440"/>
        <w:rPr>
          <w:rFonts w:ascii="Times" w:hAnsi="Times" w:cs="Times"/>
          <w:color w:val="000000"/>
          <w:lang w:val="en-AU"/>
        </w:rPr>
      </w:pPr>
      <w:r>
        <w:rPr>
          <w:rFonts w:ascii="Times" w:hAnsi="Times" w:cs="Times"/>
          <w:color w:val="000000"/>
          <w:kern w:val="1"/>
          <w:sz w:val="29"/>
          <w:szCs w:val="29"/>
          <w:lang w:val="en-AU"/>
        </w:rPr>
        <w:tab/>
      </w:r>
      <w:r>
        <w:rPr>
          <w:rFonts w:ascii="Times" w:hAnsi="Times" w:cs="Times"/>
          <w:color w:val="000000"/>
          <w:kern w:val="1"/>
          <w:sz w:val="29"/>
          <w:szCs w:val="29"/>
          <w:lang w:val="en-AU"/>
        </w:rPr>
        <w:tab/>
      </w:r>
      <w:proofErr w:type="gramStart"/>
      <w:r>
        <w:rPr>
          <w:rFonts w:ascii="Times" w:hAnsi="Times" w:cs="Times"/>
          <w:color w:val="000000"/>
          <w:sz w:val="29"/>
          <w:szCs w:val="29"/>
          <w:lang w:val="en-AU"/>
        </w:rPr>
        <w:t>  attitudes</w:t>
      </w:r>
      <w:proofErr w:type="gramEnd"/>
      <w:r>
        <w:rPr>
          <w:rFonts w:ascii="Times" w:hAnsi="Times" w:cs="Times"/>
          <w:color w:val="000000"/>
          <w:sz w:val="29"/>
          <w:szCs w:val="29"/>
          <w:lang w:val="en-AU"/>
        </w:rPr>
        <w:t xml:space="preserve"> towards leisure and entertainment: the importance of music to a cultural way of life; story telling through art and music, dance and art forms; the impact of technology on leisure and entertainment </w:t>
      </w:r>
      <w:r>
        <w:rPr>
          <w:rFonts w:ascii="MS Mincho" w:eastAsia="MS Mincho" w:hAnsi="MS Mincho" w:cs="MS Mincho" w:hint="eastAsia"/>
          <w:color w:val="000000"/>
          <w:lang w:val="en-AU"/>
        </w:rPr>
        <w:t> </w:t>
      </w:r>
    </w:p>
    <w:p w:rsidR="00FC3464" w:rsidRDefault="00FC3464" w:rsidP="00FC3464">
      <w:pPr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40" w:line="340" w:lineRule="atLeast"/>
        <w:ind w:hanging="1440"/>
        <w:rPr>
          <w:rFonts w:ascii="Times" w:hAnsi="Times" w:cs="Times"/>
          <w:color w:val="000000"/>
          <w:lang w:val="en-AU"/>
        </w:rPr>
      </w:pPr>
      <w:r>
        <w:rPr>
          <w:rFonts w:ascii="Times" w:hAnsi="Times" w:cs="Times"/>
          <w:color w:val="000000"/>
          <w:kern w:val="1"/>
          <w:sz w:val="29"/>
          <w:szCs w:val="29"/>
          <w:lang w:val="en-AU"/>
        </w:rPr>
        <w:tab/>
      </w:r>
      <w:r>
        <w:rPr>
          <w:rFonts w:ascii="Times" w:hAnsi="Times" w:cs="Times"/>
          <w:color w:val="000000"/>
          <w:kern w:val="1"/>
          <w:sz w:val="29"/>
          <w:szCs w:val="29"/>
          <w:lang w:val="en-AU"/>
        </w:rPr>
        <w:tab/>
      </w:r>
      <w:proofErr w:type="gramStart"/>
      <w:r>
        <w:rPr>
          <w:rFonts w:ascii="Times" w:hAnsi="Times" w:cs="Times"/>
          <w:color w:val="000000"/>
          <w:sz w:val="29"/>
          <w:szCs w:val="29"/>
          <w:lang w:val="en-AU"/>
        </w:rPr>
        <w:t>  attitudes</w:t>
      </w:r>
      <w:proofErr w:type="gramEnd"/>
      <w:r>
        <w:rPr>
          <w:rFonts w:ascii="Times" w:hAnsi="Times" w:cs="Times"/>
          <w:color w:val="000000"/>
          <w:sz w:val="29"/>
          <w:szCs w:val="29"/>
          <w:lang w:val="en-AU"/>
        </w:rPr>
        <w:t xml:space="preserve"> towards self</w:t>
      </w:r>
      <w:r>
        <w:rPr>
          <w:rFonts w:ascii="Cambria Math" w:hAnsi="Cambria Math" w:cs="Cambria Math"/>
          <w:color w:val="000000"/>
          <w:sz w:val="29"/>
          <w:szCs w:val="29"/>
          <w:lang w:val="en-AU"/>
        </w:rPr>
        <w:t>‐</w:t>
      </w:r>
      <w:r>
        <w:rPr>
          <w:rFonts w:ascii="Times" w:hAnsi="Times" w:cs="Times"/>
          <w:color w:val="000000"/>
          <w:sz w:val="29"/>
          <w:szCs w:val="29"/>
          <w:lang w:val="en-AU"/>
        </w:rPr>
        <w:t xml:space="preserve">image, fashion and beauty: how the media use language, sound and visual techniques to present a certain image; the impact of media on identity; the influence of cultural fashion icons and fashion trends; conforming to images or stereotypes; marketers’ part in promoting a certain image. </w:t>
      </w:r>
      <w:r>
        <w:rPr>
          <w:rFonts w:ascii="MS Mincho" w:eastAsia="MS Mincho" w:hAnsi="MS Mincho" w:cs="MS Mincho" w:hint="eastAsia"/>
          <w:color w:val="000000"/>
          <w:lang w:val="en-AU"/>
        </w:rPr>
        <w:t> </w:t>
      </w:r>
    </w:p>
    <w:p w:rsidR="00B77CD0" w:rsidRDefault="00B77CD0"/>
    <w:p w:rsidR="003323A9" w:rsidRDefault="003323A9"/>
    <w:p w:rsidR="003323A9" w:rsidRDefault="003323A9"/>
    <w:p w:rsidR="003323A9" w:rsidRPr="00E97454" w:rsidRDefault="003323A9" w:rsidP="00E97454">
      <w:pPr>
        <w:outlineLvl w:val="0"/>
        <w:rPr>
          <w:b/>
          <w:sz w:val="28"/>
          <w:szCs w:val="28"/>
        </w:rPr>
      </w:pPr>
      <w:r>
        <w:t xml:space="preserve"> </w:t>
      </w:r>
      <w:r w:rsidRPr="00E97454">
        <w:rPr>
          <w:b/>
          <w:sz w:val="28"/>
          <w:szCs w:val="28"/>
        </w:rPr>
        <w:t xml:space="preserve">UNIT 2B.   Making Choices </w:t>
      </w:r>
    </w:p>
    <w:p w:rsidR="003323A9" w:rsidRPr="003323A9" w:rsidRDefault="003323A9" w:rsidP="003323A9">
      <w:pPr>
        <w:autoSpaceDE w:val="0"/>
        <w:autoSpaceDN w:val="0"/>
        <w:adjustRightInd w:val="0"/>
        <w:spacing w:after="240" w:line="340" w:lineRule="atLeast"/>
        <w:rPr>
          <w:rFonts w:ascii="Times" w:hAnsi="Times" w:cs="Times"/>
          <w:color w:val="FF0000"/>
          <w:lang w:val="en-AU"/>
        </w:rPr>
      </w:pPr>
      <w:r>
        <w:rPr>
          <w:rFonts w:ascii="Times" w:hAnsi="Times" w:cs="Times"/>
          <w:color w:val="000000"/>
          <w:sz w:val="29"/>
          <w:szCs w:val="29"/>
          <w:lang w:val="en-AU"/>
        </w:rPr>
        <w:t xml:space="preserve">The thematic focus for this unit is making choices. Using knowledge and skills from their existing languages and cultures, students learn to use English to identify and </w:t>
      </w:r>
      <w:bookmarkStart w:id="0" w:name="_GoBack"/>
      <w:r w:rsidRPr="004C7872">
        <w:rPr>
          <w:rFonts w:ascii="Times" w:hAnsi="Times" w:cs="Times"/>
          <w:color w:val="FF0000"/>
          <w:sz w:val="29"/>
          <w:szCs w:val="29"/>
          <w:lang w:val="en-AU"/>
        </w:rPr>
        <w:t xml:space="preserve">examine choices facing </w:t>
      </w:r>
      <w:bookmarkEnd w:id="0"/>
      <w:r w:rsidRPr="003323A9">
        <w:rPr>
          <w:rFonts w:ascii="Times" w:hAnsi="Times" w:cs="Times"/>
          <w:color w:val="FF0000"/>
          <w:sz w:val="29"/>
          <w:szCs w:val="29"/>
          <w:lang w:val="en-AU"/>
        </w:rPr>
        <w:t xml:space="preserve">themselves, their families, communities and societies in relation to issues of concern presented in a range of texts. They examine and use the ways language can be used to analyse choices, influence attitudes and effect change. </w:t>
      </w:r>
    </w:p>
    <w:p w:rsidR="003323A9" w:rsidRDefault="003323A9"/>
    <w:sectPr w:rsidR="003323A9" w:rsidSect="002A5E4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64"/>
    <w:rsid w:val="003323A9"/>
    <w:rsid w:val="004C7872"/>
    <w:rsid w:val="0079208D"/>
    <w:rsid w:val="00AD3D33"/>
    <w:rsid w:val="00B77CD0"/>
    <w:rsid w:val="00E97454"/>
    <w:rsid w:val="00FC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  <w15:docId w15:val="{6BDB1E4B-45BB-FE46-8DA5-51733FD8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Contos</dc:creator>
  <cp:keywords/>
  <dc:description/>
  <cp:lastModifiedBy>Gemma Contos</cp:lastModifiedBy>
  <cp:revision>4</cp:revision>
  <dcterms:created xsi:type="dcterms:W3CDTF">2018-03-15T06:07:00Z</dcterms:created>
  <dcterms:modified xsi:type="dcterms:W3CDTF">2018-03-15T07:19:00Z</dcterms:modified>
</cp:coreProperties>
</file>